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FDFDA" w14:textId="669B979E" w:rsidR="00CD0D21" w:rsidRPr="00CD0D21" w:rsidRDefault="004A318D" w:rsidP="00CD0D21">
      <w:pPr>
        <w:jc w:val="center"/>
        <w:rPr>
          <w:rFonts w:ascii="Arial" w:hAnsi="Arial" w:cs="Arial"/>
          <w:b/>
          <w:noProof/>
          <w:sz w:val="44"/>
          <w:szCs w:val="44"/>
          <w:u w:val="single"/>
          <w:lang w:val="sr-Cyrl-RS"/>
        </w:rPr>
      </w:pPr>
      <w:r w:rsidRPr="0001452B">
        <w:rPr>
          <w:rFonts w:ascii="Arial" w:hAnsi="Arial" w:cs="Arial"/>
          <w:b/>
          <w:noProof/>
          <w:sz w:val="56"/>
          <w:szCs w:val="56"/>
          <w:u w:val="single"/>
          <w:lang w:val="sr-Cyrl-RS"/>
        </w:rPr>
        <w:t>Одељење за механику</w:t>
      </w:r>
    </w:p>
    <w:p w14:paraId="08993A95" w14:textId="710E2BE0" w:rsidR="00BB79DE" w:rsidRPr="0001452B" w:rsidRDefault="008E176E" w:rsidP="00BB79DE">
      <w:pPr>
        <w:jc w:val="center"/>
        <w:rPr>
          <w:rFonts w:ascii="Arial" w:hAnsi="Arial" w:cs="Arial"/>
          <w:b/>
          <w:bCs/>
          <w:noProof/>
          <w:sz w:val="44"/>
          <w:szCs w:val="44"/>
          <w:shd w:val="clear" w:color="auto" w:fill="FFFFFF"/>
          <w:lang w:val="sr-Cyrl-RS"/>
        </w:rPr>
      </w:pPr>
      <w:r w:rsidRPr="0001452B">
        <w:rPr>
          <w:rFonts w:ascii="Arial" w:hAnsi="Arial" w:cs="Arial"/>
          <w:b/>
          <w:noProof/>
          <w:sz w:val="44"/>
          <w:szCs w:val="44"/>
          <w:lang w:val="sr-Cyrl-RS"/>
        </w:rPr>
        <w:t xml:space="preserve">75. </w:t>
      </w:r>
      <w:r w:rsidR="00530826" w:rsidRPr="0001452B">
        <w:rPr>
          <w:rFonts w:ascii="Arial" w:hAnsi="Arial" w:cs="Arial"/>
          <w:b/>
          <w:noProof/>
          <w:sz w:val="44"/>
          <w:szCs w:val="44"/>
          <w:lang w:val="sr-Cyrl-RS"/>
        </w:rPr>
        <w:t>г</w:t>
      </w:r>
      <w:r w:rsidRPr="0001452B">
        <w:rPr>
          <w:rFonts w:ascii="Arial" w:hAnsi="Arial" w:cs="Arial"/>
          <w:b/>
          <w:noProof/>
          <w:sz w:val="44"/>
          <w:szCs w:val="44"/>
          <w:lang w:val="sr-Cyrl-RS"/>
        </w:rPr>
        <w:t xml:space="preserve">одишњица </w:t>
      </w:r>
      <w:r w:rsidRPr="0001452B">
        <w:rPr>
          <w:rFonts w:ascii="Arial" w:hAnsi="Arial" w:cs="Arial"/>
          <w:b/>
          <w:bCs/>
          <w:noProof/>
          <w:sz w:val="44"/>
          <w:szCs w:val="44"/>
          <w:shd w:val="clear" w:color="auto" w:fill="FFFFFF"/>
          <w:lang w:val="sr-Cyrl-RS"/>
        </w:rPr>
        <w:t xml:space="preserve">Математичког инстититута </w:t>
      </w:r>
    </w:p>
    <w:p w14:paraId="44DD3F58" w14:textId="0AED29D1" w:rsidR="006D6772" w:rsidRPr="0001452B" w:rsidRDefault="008E176E" w:rsidP="0001452B">
      <w:pPr>
        <w:jc w:val="center"/>
        <w:rPr>
          <w:rFonts w:ascii="Arial" w:hAnsi="Arial" w:cs="Arial"/>
          <w:b/>
          <w:bCs/>
          <w:noProof/>
          <w:sz w:val="44"/>
          <w:szCs w:val="44"/>
          <w:shd w:val="clear" w:color="auto" w:fill="FFFFFF"/>
          <w:lang w:val="sr-Cyrl-RS"/>
        </w:rPr>
      </w:pPr>
      <w:r w:rsidRPr="0001452B">
        <w:rPr>
          <w:rFonts w:ascii="Arial" w:hAnsi="Arial" w:cs="Arial"/>
          <w:b/>
          <w:bCs/>
          <w:noProof/>
          <w:sz w:val="44"/>
          <w:szCs w:val="44"/>
          <w:shd w:val="clear" w:color="auto" w:fill="FFFFFF"/>
          <w:lang w:val="sr-Cyrl-RS"/>
        </w:rPr>
        <w:t>Српске академије наука и уметности</w:t>
      </w:r>
    </w:p>
    <w:p w14:paraId="476A00CE" w14:textId="2625B6B6" w:rsidR="0001452B" w:rsidRPr="0001452B" w:rsidRDefault="0001452B" w:rsidP="0001452B">
      <w:pPr>
        <w:tabs>
          <w:tab w:val="left" w:pos="11861"/>
        </w:tabs>
        <w:rPr>
          <w:rFonts w:ascii="Arial" w:hAnsi="Arial" w:cs="Arial"/>
          <w:b/>
          <w:bCs/>
          <w:noProof/>
          <w:sz w:val="44"/>
          <w:szCs w:val="44"/>
          <w:shd w:val="clear" w:color="auto" w:fill="FFFFFF"/>
          <w:lang w:val="sr-Cyrl-RS"/>
        </w:rPr>
      </w:pPr>
      <w:r>
        <w:rPr>
          <w:rFonts w:ascii="Arial" w:hAnsi="Arial" w:cs="Arial"/>
          <w:b/>
          <w:bCs/>
          <w:noProof/>
          <w:sz w:val="44"/>
          <w:szCs w:val="44"/>
          <w:shd w:val="clear" w:color="auto" w:fill="FFFFFF"/>
          <w:lang w:val="sr-Cyrl-RS"/>
        </w:rPr>
        <w:tab/>
      </w:r>
    </w:p>
    <w:p w14:paraId="4C22500E" w14:textId="6E31C61F" w:rsidR="0001452B" w:rsidRPr="00E323C3" w:rsidRDefault="008E176E" w:rsidP="00E323C3">
      <w:pPr>
        <w:jc w:val="center"/>
        <w:rPr>
          <w:rFonts w:ascii="Arial" w:hAnsi="Arial" w:cs="Arial"/>
          <w:b/>
          <w:noProof/>
          <w:sz w:val="44"/>
          <w:szCs w:val="44"/>
          <w:lang w:val="sr-Cyrl-RS"/>
        </w:rPr>
      </w:pPr>
      <w:r w:rsidRPr="0001452B">
        <w:rPr>
          <w:rFonts w:ascii="Arial" w:hAnsi="Arial" w:cs="Arial"/>
          <w:b/>
          <w:noProof/>
          <w:sz w:val="44"/>
          <w:szCs w:val="44"/>
          <w:lang w:val="sr-Cyrl-RS"/>
        </w:rPr>
        <w:t>Програм</w:t>
      </w:r>
    </w:p>
    <w:p w14:paraId="2A423C5E" w14:textId="77777777" w:rsidR="00CD0D21" w:rsidRPr="00CD0D21" w:rsidRDefault="00CD0D21" w:rsidP="0001452B">
      <w:pPr>
        <w:jc w:val="center"/>
        <w:rPr>
          <w:rFonts w:ascii="Arial" w:hAnsi="Arial" w:cs="Arial"/>
          <w:b/>
          <w:noProof/>
          <w:sz w:val="20"/>
          <w:szCs w:val="20"/>
          <w:lang w:val="sr-Cyrl-RS"/>
        </w:rPr>
      </w:pPr>
    </w:p>
    <w:tbl>
      <w:tblPr>
        <w:tblStyle w:val="TableGrid"/>
        <w:tblW w:w="5000" w:type="pct"/>
        <w:tblLook w:val="04A0" w:firstRow="1" w:lastRow="0" w:firstColumn="1" w:lastColumn="0" w:noHBand="0" w:noVBand="1"/>
      </w:tblPr>
      <w:tblGrid>
        <w:gridCol w:w="1452"/>
        <w:gridCol w:w="8362"/>
      </w:tblGrid>
      <w:tr w:rsidR="001A1F4F" w:rsidRPr="001C1CCE" w14:paraId="4A94B36C" w14:textId="77777777" w:rsidTr="005E6704">
        <w:trPr>
          <w:cantSplit/>
          <w:trHeight w:val="284"/>
        </w:trPr>
        <w:tc>
          <w:tcPr>
            <w:tcW w:w="5000" w:type="pct"/>
            <w:gridSpan w:val="2"/>
            <w:shd w:val="clear" w:color="auto" w:fill="DBE5F1" w:themeFill="accent1" w:themeFillTint="33"/>
            <w:tcMar>
              <w:top w:w="227" w:type="dxa"/>
              <w:left w:w="227" w:type="dxa"/>
              <w:bottom w:w="227" w:type="dxa"/>
              <w:right w:w="227" w:type="dxa"/>
            </w:tcMar>
            <w:vAlign w:val="center"/>
          </w:tcPr>
          <w:p w14:paraId="6ABC083B" w14:textId="63B15E54" w:rsidR="0059508A" w:rsidRPr="001C1CCE" w:rsidRDefault="0059508A" w:rsidP="0059508A">
            <w:pPr>
              <w:jc w:val="center"/>
              <w:rPr>
                <w:rFonts w:ascii="Arial" w:hAnsi="Arial" w:cs="Arial"/>
                <w:noProof/>
                <w:sz w:val="24"/>
                <w:szCs w:val="24"/>
              </w:rPr>
            </w:pPr>
            <w:r w:rsidRPr="001C1CCE">
              <w:rPr>
                <w:rFonts w:ascii="Arial" w:hAnsi="Arial" w:cs="Arial"/>
                <w:noProof/>
                <w:sz w:val="24"/>
                <w:szCs w:val="24"/>
                <w:lang w:val="sr-Cyrl-RS"/>
              </w:rPr>
              <w:t>Среда, 22. септембар 2021</w:t>
            </w:r>
            <w:r w:rsidR="00310C50" w:rsidRPr="001C1CCE">
              <w:rPr>
                <w:rFonts w:ascii="Arial" w:hAnsi="Arial" w:cs="Arial"/>
                <w:noProof/>
                <w:sz w:val="24"/>
                <w:szCs w:val="24"/>
              </w:rPr>
              <w:t>.</w:t>
            </w:r>
          </w:p>
        </w:tc>
      </w:tr>
      <w:tr w:rsidR="001A1F4F" w:rsidRPr="001C1CCE" w14:paraId="30030474" w14:textId="77777777" w:rsidTr="005E6704">
        <w:trPr>
          <w:cantSplit/>
          <w:trHeight w:val="284"/>
        </w:trPr>
        <w:tc>
          <w:tcPr>
            <w:tcW w:w="740" w:type="pct"/>
            <w:tcMar>
              <w:top w:w="227" w:type="dxa"/>
              <w:left w:w="227" w:type="dxa"/>
              <w:bottom w:w="227" w:type="dxa"/>
              <w:right w:w="227" w:type="dxa"/>
            </w:tcMar>
            <w:vAlign w:val="center"/>
          </w:tcPr>
          <w:p w14:paraId="079F8D72" w14:textId="5C8FAA87" w:rsidR="0059508A" w:rsidRPr="001C1CCE" w:rsidRDefault="0059508A" w:rsidP="00E85746">
            <w:pPr>
              <w:jc w:val="center"/>
              <w:rPr>
                <w:rFonts w:ascii="Arial" w:hAnsi="Arial" w:cs="Arial"/>
                <w:noProof/>
                <w:sz w:val="24"/>
                <w:szCs w:val="24"/>
                <w:lang w:val="sr-Cyrl-RS"/>
              </w:rPr>
            </w:pPr>
            <w:r w:rsidRPr="001C1CCE">
              <w:rPr>
                <w:rFonts w:ascii="Arial" w:hAnsi="Arial" w:cs="Arial"/>
                <w:noProof/>
                <w:sz w:val="24"/>
                <w:szCs w:val="24"/>
                <w:lang w:val="sr-Cyrl-RS"/>
              </w:rPr>
              <w:t>18:00</w:t>
            </w:r>
          </w:p>
        </w:tc>
        <w:tc>
          <w:tcPr>
            <w:tcW w:w="4260" w:type="pct"/>
            <w:tcMar>
              <w:top w:w="227" w:type="dxa"/>
              <w:left w:w="227" w:type="dxa"/>
              <w:bottom w:w="227" w:type="dxa"/>
              <w:right w:w="227" w:type="dxa"/>
            </w:tcMar>
            <w:vAlign w:val="center"/>
          </w:tcPr>
          <w:p w14:paraId="6AF4C540" w14:textId="6A190659" w:rsidR="0059508A" w:rsidRPr="001C1CCE" w:rsidRDefault="0059508A" w:rsidP="0059508A">
            <w:pPr>
              <w:jc w:val="center"/>
              <w:rPr>
                <w:rFonts w:ascii="Arial" w:hAnsi="Arial" w:cs="Arial"/>
                <w:b/>
                <w:noProof/>
                <w:sz w:val="24"/>
                <w:szCs w:val="24"/>
                <w:lang w:val="sr-Cyrl-RS"/>
              </w:rPr>
            </w:pPr>
            <w:r w:rsidRPr="001C1CCE">
              <w:rPr>
                <w:rFonts w:ascii="Arial" w:hAnsi="Arial" w:cs="Arial"/>
                <w:b/>
                <w:noProof/>
                <w:sz w:val="24"/>
                <w:szCs w:val="24"/>
                <w:lang w:val="sr-Cyrl-RS"/>
              </w:rPr>
              <w:t>Милош Којић,</w:t>
            </w:r>
          </w:p>
          <w:p w14:paraId="4B402455" w14:textId="1B87C498" w:rsidR="0059508A" w:rsidRPr="001C1CCE" w:rsidRDefault="0059508A" w:rsidP="0059508A">
            <w:pPr>
              <w:jc w:val="center"/>
              <w:rPr>
                <w:rFonts w:ascii="Arial" w:hAnsi="Arial" w:cs="Arial"/>
                <w:bCs/>
                <w:noProof/>
                <w:sz w:val="24"/>
                <w:szCs w:val="24"/>
                <w:shd w:val="clear" w:color="auto" w:fill="FFFFFF"/>
                <w:lang w:val="sr-Cyrl-RS"/>
              </w:rPr>
            </w:pPr>
            <w:r w:rsidRPr="001C1CCE">
              <w:rPr>
                <w:rFonts w:ascii="Arial" w:hAnsi="Arial" w:cs="Arial"/>
                <w:bCs/>
                <w:noProof/>
                <w:sz w:val="24"/>
                <w:szCs w:val="24"/>
                <w:shd w:val="clear" w:color="auto" w:fill="FFFFFF"/>
                <w:lang w:val="sr-Cyrl-RS"/>
              </w:rPr>
              <w:t>Српска академија наука и уметности</w:t>
            </w:r>
          </w:p>
          <w:p w14:paraId="428DB703" w14:textId="77777777" w:rsidR="001A1F4F" w:rsidRPr="001C1CCE" w:rsidRDefault="001A1F4F" w:rsidP="0059508A">
            <w:pPr>
              <w:jc w:val="center"/>
              <w:rPr>
                <w:rFonts w:ascii="Arial" w:hAnsi="Arial" w:cs="Arial"/>
                <w:noProof/>
                <w:sz w:val="24"/>
                <w:szCs w:val="24"/>
                <w:shd w:val="clear" w:color="auto" w:fill="FFFFFF"/>
                <w:lang w:val="sr-Cyrl-RS"/>
              </w:rPr>
            </w:pPr>
          </w:p>
          <w:p w14:paraId="5B1AD8FB" w14:textId="0CDA1008" w:rsidR="001A1F4F" w:rsidRPr="001C1CCE" w:rsidRDefault="0059508A" w:rsidP="004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noProof/>
                <w:sz w:val="24"/>
                <w:szCs w:val="24"/>
                <w:lang w:val="sr-Cyrl-RS"/>
              </w:rPr>
            </w:pPr>
            <w:r w:rsidRPr="001C1CCE">
              <w:rPr>
                <w:rFonts w:ascii="Arial" w:eastAsia="Times New Roman" w:hAnsi="Arial" w:cs="Arial"/>
                <w:b/>
                <w:noProof/>
                <w:sz w:val="24"/>
                <w:szCs w:val="24"/>
                <w:lang w:val="sr-Cyrl-RS"/>
              </w:rPr>
              <w:t>Један преглед наших нумеричких модела у биомедицини</w:t>
            </w:r>
          </w:p>
        </w:tc>
      </w:tr>
      <w:tr w:rsidR="001A1F4F" w:rsidRPr="001C1CCE" w14:paraId="325636A0" w14:textId="77777777" w:rsidTr="005E6704">
        <w:trPr>
          <w:cantSplit/>
          <w:trHeight w:val="284"/>
        </w:trPr>
        <w:tc>
          <w:tcPr>
            <w:tcW w:w="5000" w:type="pct"/>
            <w:gridSpan w:val="2"/>
            <w:shd w:val="clear" w:color="auto" w:fill="DBE5F1" w:themeFill="accent1" w:themeFillTint="33"/>
            <w:tcMar>
              <w:top w:w="227" w:type="dxa"/>
              <w:left w:w="227" w:type="dxa"/>
              <w:bottom w:w="227" w:type="dxa"/>
              <w:right w:w="227" w:type="dxa"/>
            </w:tcMar>
            <w:vAlign w:val="center"/>
          </w:tcPr>
          <w:p w14:paraId="7E8E40BB" w14:textId="46677B2C" w:rsidR="0059508A" w:rsidRPr="001C1CCE" w:rsidRDefault="005E6704" w:rsidP="0059508A">
            <w:pPr>
              <w:jc w:val="center"/>
              <w:rPr>
                <w:rFonts w:ascii="Arial" w:hAnsi="Arial" w:cs="Arial"/>
                <w:noProof/>
                <w:sz w:val="24"/>
                <w:szCs w:val="24"/>
                <w:lang w:val="sr-Cyrl-RS"/>
              </w:rPr>
            </w:pPr>
            <w:r w:rsidRPr="001C1CCE">
              <w:rPr>
                <w:rFonts w:ascii="Arial" w:hAnsi="Arial" w:cs="Arial"/>
                <w:sz w:val="24"/>
                <w:szCs w:val="24"/>
              </w:rPr>
              <w:br w:type="page"/>
            </w:r>
            <w:r w:rsidR="0059508A" w:rsidRPr="001C1CCE">
              <w:rPr>
                <w:rFonts w:ascii="Arial" w:hAnsi="Arial" w:cs="Arial"/>
                <w:noProof/>
                <w:sz w:val="24"/>
                <w:szCs w:val="24"/>
                <w:lang w:val="sr-Cyrl-RS"/>
              </w:rPr>
              <w:t>Петак, 1. октобар 2021.</w:t>
            </w:r>
          </w:p>
        </w:tc>
      </w:tr>
      <w:tr w:rsidR="001A1F4F" w:rsidRPr="001C1CCE" w14:paraId="30CD80E4" w14:textId="77777777" w:rsidTr="005E6704">
        <w:trPr>
          <w:cantSplit/>
          <w:trHeight w:val="284"/>
        </w:trPr>
        <w:tc>
          <w:tcPr>
            <w:tcW w:w="740" w:type="pct"/>
            <w:tcMar>
              <w:top w:w="227" w:type="dxa"/>
              <w:left w:w="227" w:type="dxa"/>
              <w:bottom w:w="227" w:type="dxa"/>
              <w:right w:w="227" w:type="dxa"/>
            </w:tcMar>
            <w:vAlign w:val="center"/>
          </w:tcPr>
          <w:p w14:paraId="7725335B" w14:textId="032AEAD1" w:rsidR="0059508A" w:rsidRPr="001C1CCE" w:rsidRDefault="0059508A" w:rsidP="00E85746">
            <w:pPr>
              <w:jc w:val="center"/>
              <w:rPr>
                <w:rFonts w:ascii="Arial" w:hAnsi="Arial" w:cs="Arial"/>
                <w:b/>
                <w:noProof/>
                <w:sz w:val="24"/>
                <w:szCs w:val="24"/>
                <w:lang w:val="sr-Cyrl-RS"/>
              </w:rPr>
            </w:pPr>
            <w:r w:rsidRPr="001C1CCE">
              <w:rPr>
                <w:rFonts w:ascii="Arial" w:hAnsi="Arial" w:cs="Arial"/>
                <w:noProof/>
                <w:sz w:val="24"/>
                <w:szCs w:val="24"/>
                <w:lang w:val="sr-Cyrl-RS"/>
              </w:rPr>
              <w:t>14:15</w:t>
            </w:r>
          </w:p>
        </w:tc>
        <w:tc>
          <w:tcPr>
            <w:tcW w:w="4260" w:type="pct"/>
            <w:tcMar>
              <w:top w:w="227" w:type="dxa"/>
              <w:left w:w="227" w:type="dxa"/>
              <w:bottom w:w="227" w:type="dxa"/>
              <w:right w:w="227" w:type="dxa"/>
            </w:tcMar>
            <w:vAlign w:val="center"/>
          </w:tcPr>
          <w:p w14:paraId="2F5CA1DF" w14:textId="37CCE708" w:rsidR="0059508A" w:rsidRPr="001C1CCE" w:rsidRDefault="0059508A" w:rsidP="001A1F4F">
            <w:pPr>
              <w:jc w:val="center"/>
              <w:rPr>
                <w:rFonts w:ascii="Arial" w:hAnsi="Arial" w:cs="Arial"/>
                <w:bCs/>
                <w:noProof/>
                <w:sz w:val="24"/>
                <w:szCs w:val="24"/>
                <w:lang w:val="sr-Cyrl-RS"/>
              </w:rPr>
            </w:pPr>
            <w:r w:rsidRPr="001C1CCE">
              <w:rPr>
                <w:rFonts w:ascii="Arial" w:hAnsi="Arial" w:cs="Arial"/>
                <w:b/>
                <w:noProof/>
                <w:sz w:val="24"/>
                <w:szCs w:val="24"/>
                <w:lang w:val="sr-Cyrl-RS"/>
              </w:rPr>
              <w:t>Владимир Драговић</w:t>
            </w:r>
            <w:r w:rsidRPr="001C1CCE">
              <w:rPr>
                <w:rFonts w:ascii="Arial" w:hAnsi="Arial" w:cs="Arial"/>
                <w:bCs/>
                <w:noProof/>
                <w:sz w:val="24"/>
                <w:szCs w:val="24"/>
                <w:lang w:val="sr-Cyrl-RS"/>
              </w:rPr>
              <w:t>,</w:t>
            </w:r>
          </w:p>
          <w:p w14:paraId="0980A752" w14:textId="743EAEA4" w:rsidR="0059508A" w:rsidRPr="001C1CCE" w:rsidRDefault="0059508A" w:rsidP="001A1F4F">
            <w:pPr>
              <w:jc w:val="center"/>
              <w:rPr>
                <w:rFonts w:ascii="Arial" w:hAnsi="Arial" w:cs="Arial"/>
                <w:bCs/>
                <w:noProof/>
                <w:sz w:val="24"/>
                <w:szCs w:val="24"/>
                <w:lang w:val="sr-Cyrl-RS"/>
              </w:rPr>
            </w:pPr>
            <w:r w:rsidRPr="001C1CCE">
              <w:rPr>
                <w:rFonts w:ascii="Arial" w:hAnsi="Arial" w:cs="Arial"/>
                <w:noProof/>
                <w:sz w:val="24"/>
                <w:szCs w:val="24"/>
                <w:shd w:val="clear" w:color="auto" w:fill="FFFFFF"/>
                <w:lang w:val="sr-Cyrl-RS"/>
              </w:rPr>
              <w:t>Математички инстититут САНУ</w:t>
            </w:r>
            <w:r w:rsidRPr="001C1CCE">
              <w:rPr>
                <w:rFonts w:ascii="Arial" w:hAnsi="Arial" w:cs="Arial"/>
                <w:noProof/>
                <w:sz w:val="24"/>
                <w:szCs w:val="24"/>
                <w:shd w:val="clear" w:color="auto" w:fill="FFFFFF"/>
              </w:rPr>
              <w:t xml:space="preserve"> </w:t>
            </w:r>
            <w:r w:rsidRPr="001C1CCE">
              <w:rPr>
                <w:rFonts w:ascii="Arial" w:hAnsi="Arial" w:cs="Arial"/>
                <w:bCs/>
                <w:noProof/>
                <w:sz w:val="24"/>
                <w:szCs w:val="24"/>
                <w:lang w:val="sr-Cyrl-RS"/>
              </w:rPr>
              <w:t>&amp; University of Texas, Dallas</w:t>
            </w:r>
          </w:p>
          <w:p w14:paraId="23BECF07" w14:textId="77777777" w:rsidR="001A1F4F" w:rsidRPr="001C1CCE" w:rsidRDefault="001A1F4F" w:rsidP="001A1F4F">
            <w:pPr>
              <w:jc w:val="center"/>
              <w:rPr>
                <w:rFonts w:ascii="Arial" w:hAnsi="Arial" w:cs="Arial"/>
                <w:noProof/>
                <w:sz w:val="24"/>
                <w:szCs w:val="24"/>
                <w:shd w:val="clear" w:color="auto" w:fill="FFFFFF"/>
                <w:lang w:val="sr-Cyrl-RS"/>
              </w:rPr>
            </w:pPr>
          </w:p>
          <w:p w14:paraId="54CB959E" w14:textId="77777777" w:rsidR="0059508A" w:rsidRPr="001C1CCE" w:rsidRDefault="0059508A" w:rsidP="001A1F4F">
            <w:pPr>
              <w:jc w:val="center"/>
              <w:rPr>
                <w:rFonts w:ascii="Arial" w:hAnsi="Arial" w:cs="Arial"/>
                <w:b/>
                <w:noProof/>
                <w:sz w:val="24"/>
                <w:szCs w:val="24"/>
                <w:shd w:val="clear" w:color="auto" w:fill="FFFFFF"/>
                <w:lang w:val="sr-Cyrl-RS"/>
              </w:rPr>
            </w:pPr>
            <w:r w:rsidRPr="001C1CCE">
              <w:rPr>
                <w:rFonts w:ascii="Arial" w:hAnsi="Arial" w:cs="Arial"/>
                <w:b/>
                <w:noProof/>
                <w:sz w:val="24"/>
                <w:szCs w:val="24"/>
                <w:shd w:val="clear" w:color="auto" w:fill="FFFFFF"/>
                <w:lang w:val="sr-Cyrl-RS"/>
              </w:rPr>
              <w:t>Чебишевска динамика, изохармонијске деформације и интеграбилни билијари</w:t>
            </w:r>
          </w:p>
          <w:p w14:paraId="7234DBB0" w14:textId="77777777" w:rsidR="0059508A" w:rsidRPr="001C1CCE" w:rsidRDefault="0059508A" w:rsidP="001A1F4F">
            <w:pPr>
              <w:jc w:val="both"/>
              <w:rPr>
                <w:rFonts w:ascii="Arial" w:hAnsi="Arial" w:cs="Arial"/>
                <w:b/>
                <w:noProof/>
                <w:sz w:val="24"/>
                <w:szCs w:val="24"/>
                <w:shd w:val="clear" w:color="auto" w:fill="FFFFFF"/>
                <w:lang w:val="sr-Cyrl-RS"/>
              </w:rPr>
            </w:pPr>
          </w:p>
          <w:p w14:paraId="4FABF287" w14:textId="0D39AEB4" w:rsidR="001A1F4F" w:rsidRDefault="0059508A" w:rsidP="001A1F4F">
            <w:pPr>
              <w:jc w:val="both"/>
              <w:rPr>
                <w:rFonts w:ascii="Arial" w:hAnsi="Arial" w:cs="Arial"/>
                <w:noProof/>
                <w:sz w:val="24"/>
                <w:szCs w:val="24"/>
                <w:shd w:val="clear" w:color="auto" w:fill="FFFFFF"/>
                <w:lang w:val="sr-Latn-RS"/>
              </w:rPr>
            </w:pPr>
            <w:r w:rsidRPr="001C1CCE">
              <w:rPr>
                <w:rFonts w:ascii="Arial" w:hAnsi="Arial" w:cs="Arial"/>
                <w:noProof/>
                <w:sz w:val="24"/>
                <w:szCs w:val="24"/>
                <w:shd w:val="clear" w:color="auto" w:fill="FFFFFF"/>
                <w:lang w:val="sr-Latn-RS"/>
              </w:rPr>
              <w:t>У предавању ћемо увести динамику Чебишевљевих полинома на d реалних интервала и формулисати изомонодромна својства ових динамика. Објашњавамо разлику између случајева два и више од два интервала. Користећи  инјективност фреквентног билијарског пресликавања, уводимо изохармонијске  деформације као уопштења Чебишевске динамике. Дајемо експлицитна решења придружених Шлезингерових једначина. Делови резултата су заједнички са В. Шрамченко, а делови са М. Радновић.</w:t>
            </w:r>
          </w:p>
          <w:p w14:paraId="78EFDE98" w14:textId="77777777" w:rsidR="00E323C3" w:rsidRDefault="00E323C3" w:rsidP="001A1F4F">
            <w:pPr>
              <w:jc w:val="both"/>
              <w:rPr>
                <w:rFonts w:ascii="Arial" w:hAnsi="Arial" w:cs="Arial"/>
                <w:noProof/>
                <w:sz w:val="24"/>
                <w:szCs w:val="24"/>
                <w:shd w:val="clear" w:color="auto" w:fill="FFFFFF"/>
                <w:lang w:val="sr-Latn-RS"/>
              </w:rPr>
            </w:pPr>
          </w:p>
          <w:p w14:paraId="00CC1851" w14:textId="0A1F0603" w:rsidR="00E323C3" w:rsidRPr="00E323C3" w:rsidRDefault="00E323C3" w:rsidP="00E323C3">
            <w:pPr>
              <w:pStyle w:val="HTMLPreformatted"/>
              <w:jc w:val="both"/>
              <w:rPr>
                <w:rFonts w:ascii="Arial" w:hAnsi="Arial" w:cs="Arial"/>
                <w:b/>
                <w:noProof/>
                <w:sz w:val="24"/>
                <w:szCs w:val="24"/>
                <w:lang w:val="sr-Cyrl-RS"/>
              </w:rPr>
            </w:pPr>
            <w:r w:rsidRPr="001C1CCE">
              <w:rPr>
                <w:rFonts w:ascii="Arial" w:hAnsi="Arial" w:cs="Arial"/>
                <w:b/>
                <w:noProof/>
                <w:sz w:val="24"/>
                <w:szCs w:val="24"/>
                <w:lang w:val="sr-Cyrl-RS"/>
              </w:rPr>
              <w:t xml:space="preserve">Предавање </w:t>
            </w:r>
            <w:r>
              <w:rPr>
                <w:rFonts w:ascii="Arial" w:hAnsi="Arial" w:cs="Arial"/>
                <w:b/>
                <w:noProof/>
                <w:sz w:val="24"/>
                <w:szCs w:val="24"/>
              </w:rPr>
              <w:t>je</w:t>
            </w:r>
            <w:r w:rsidRPr="001C1CCE">
              <w:rPr>
                <w:rFonts w:ascii="Arial" w:hAnsi="Arial" w:cs="Arial"/>
                <w:b/>
                <w:noProof/>
                <w:sz w:val="24"/>
                <w:szCs w:val="24"/>
                <w:lang w:val="sr-Cyrl-RS"/>
              </w:rPr>
              <w:t xml:space="preserve"> у оквиру заједничке седнице са Одељењем за математику.</w:t>
            </w:r>
          </w:p>
        </w:tc>
      </w:tr>
      <w:tr w:rsidR="001A1F4F" w:rsidRPr="001C1CCE" w14:paraId="241CC6A0" w14:textId="77777777" w:rsidTr="005E6704">
        <w:trPr>
          <w:cantSplit/>
          <w:trHeight w:val="284"/>
        </w:trPr>
        <w:tc>
          <w:tcPr>
            <w:tcW w:w="5000" w:type="pct"/>
            <w:gridSpan w:val="2"/>
            <w:shd w:val="clear" w:color="auto" w:fill="DBE5F1" w:themeFill="accent1" w:themeFillTint="33"/>
            <w:tcMar>
              <w:top w:w="227" w:type="dxa"/>
              <w:left w:w="227" w:type="dxa"/>
              <w:bottom w:w="227" w:type="dxa"/>
              <w:right w:w="227" w:type="dxa"/>
            </w:tcMar>
            <w:vAlign w:val="center"/>
          </w:tcPr>
          <w:p w14:paraId="4CCE5EEF" w14:textId="746803DE" w:rsidR="0059508A" w:rsidRPr="001C1CCE" w:rsidRDefault="0059508A" w:rsidP="0059508A">
            <w:pPr>
              <w:jc w:val="center"/>
              <w:rPr>
                <w:rFonts w:ascii="Arial" w:hAnsi="Arial" w:cs="Arial"/>
                <w:noProof/>
                <w:sz w:val="24"/>
                <w:szCs w:val="24"/>
                <w:lang w:val="sr-Cyrl-RS"/>
              </w:rPr>
            </w:pPr>
            <w:r w:rsidRPr="001C1CCE">
              <w:rPr>
                <w:rFonts w:ascii="Arial" w:hAnsi="Arial" w:cs="Arial"/>
                <w:noProof/>
                <w:sz w:val="24"/>
                <w:szCs w:val="24"/>
                <w:lang w:val="sr-Cyrl-RS"/>
              </w:rPr>
              <w:lastRenderedPageBreak/>
              <w:t>Среда, 6. октобар 2021.</w:t>
            </w:r>
          </w:p>
        </w:tc>
      </w:tr>
      <w:tr w:rsidR="001A1F4F" w:rsidRPr="001C1CCE" w14:paraId="13A9D2A2" w14:textId="77777777" w:rsidTr="005E6704">
        <w:trPr>
          <w:cantSplit/>
          <w:trHeight w:val="284"/>
        </w:trPr>
        <w:tc>
          <w:tcPr>
            <w:tcW w:w="740" w:type="pct"/>
            <w:tcMar>
              <w:top w:w="227" w:type="dxa"/>
              <w:left w:w="227" w:type="dxa"/>
              <w:bottom w:w="227" w:type="dxa"/>
              <w:right w:w="227" w:type="dxa"/>
            </w:tcMar>
            <w:vAlign w:val="center"/>
          </w:tcPr>
          <w:p w14:paraId="76484FE0" w14:textId="103D2040" w:rsidR="0059508A" w:rsidRPr="001C1CCE" w:rsidRDefault="0059508A" w:rsidP="00E85746">
            <w:pPr>
              <w:jc w:val="center"/>
              <w:rPr>
                <w:rFonts w:ascii="Arial" w:hAnsi="Arial" w:cs="Arial"/>
                <w:b/>
                <w:noProof/>
                <w:sz w:val="24"/>
                <w:szCs w:val="24"/>
                <w:lang w:val="sr-Cyrl-RS"/>
              </w:rPr>
            </w:pPr>
            <w:r w:rsidRPr="001C1CCE">
              <w:rPr>
                <w:rFonts w:ascii="Arial" w:hAnsi="Arial" w:cs="Arial"/>
                <w:noProof/>
                <w:sz w:val="24"/>
                <w:szCs w:val="24"/>
                <w:lang w:val="sr-Cyrl-RS"/>
              </w:rPr>
              <w:t>10:00 -11:00</w:t>
            </w:r>
          </w:p>
        </w:tc>
        <w:tc>
          <w:tcPr>
            <w:tcW w:w="4260" w:type="pct"/>
            <w:tcMar>
              <w:top w:w="227" w:type="dxa"/>
              <w:left w:w="227" w:type="dxa"/>
              <w:bottom w:w="227" w:type="dxa"/>
              <w:right w:w="227" w:type="dxa"/>
            </w:tcMar>
            <w:vAlign w:val="center"/>
          </w:tcPr>
          <w:p w14:paraId="3214F181" w14:textId="5902B9D3" w:rsidR="0059508A" w:rsidRPr="001C1CCE" w:rsidRDefault="0059508A" w:rsidP="00E85746">
            <w:pPr>
              <w:jc w:val="center"/>
              <w:rPr>
                <w:rFonts w:ascii="Arial" w:hAnsi="Arial" w:cs="Arial"/>
                <w:bCs/>
                <w:noProof/>
                <w:sz w:val="24"/>
                <w:szCs w:val="24"/>
                <w:lang w:val="sr-Cyrl-RS"/>
              </w:rPr>
            </w:pPr>
            <w:r w:rsidRPr="001C1CCE">
              <w:rPr>
                <w:rFonts w:ascii="Arial" w:hAnsi="Arial" w:cs="Arial"/>
                <w:b/>
                <w:noProof/>
                <w:sz w:val="24"/>
                <w:szCs w:val="24"/>
                <w:lang w:val="sr-Cyrl-RS"/>
              </w:rPr>
              <w:t>Теодор Атанацковић</w:t>
            </w:r>
            <w:r w:rsidRPr="001C1CCE">
              <w:rPr>
                <w:rFonts w:ascii="Arial" w:hAnsi="Arial" w:cs="Arial"/>
                <w:bCs/>
                <w:noProof/>
                <w:sz w:val="24"/>
                <w:szCs w:val="24"/>
                <w:lang w:val="sr-Cyrl-RS"/>
              </w:rPr>
              <w:t>,</w:t>
            </w:r>
          </w:p>
          <w:p w14:paraId="6881BCE6" w14:textId="5E0F1641" w:rsidR="0059508A" w:rsidRPr="001C1CCE" w:rsidRDefault="0059508A" w:rsidP="00E85746">
            <w:pPr>
              <w:jc w:val="center"/>
              <w:rPr>
                <w:rFonts w:ascii="Arial" w:hAnsi="Arial" w:cs="Arial"/>
                <w:noProof/>
                <w:sz w:val="24"/>
                <w:szCs w:val="24"/>
                <w:shd w:val="clear" w:color="auto" w:fill="FFFFFF"/>
                <w:lang w:val="sr-Cyrl-RS"/>
              </w:rPr>
            </w:pPr>
            <w:r w:rsidRPr="001C1CCE">
              <w:rPr>
                <w:rFonts w:ascii="Arial" w:hAnsi="Arial" w:cs="Arial"/>
                <w:noProof/>
                <w:sz w:val="24"/>
                <w:szCs w:val="24"/>
                <w:shd w:val="clear" w:color="auto" w:fill="FFFFFF"/>
                <w:lang w:val="sr-Cyrl-RS"/>
              </w:rPr>
              <w:t>Српска академија наука и уметности</w:t>
            </w:r>
          </w:p>
          <w:p w14:paraId="03D5AFFB" w14:textId="77777777" w:rsidR="001A1F4F" w:rsidRPr="001C1CCE" w:rsidRDefault="001A1F4F" w:rsidP="00E85746">
            <w:pPr>
              <w:jc w:val="center"/>
              <w:rPr>
                <w:rFonts w:ascii="Arial" w:hAnsi="Arial" w:cs="Arial"/>
                <w:noProof/>
                <w:sz w:val="24"/>
                <w:szCs w:val="24"/>
                <w:shd w:val="clear" w:color="auto" w:fill="FFFFFF"/>
                <w:lang w:val="sr-Cyrl-RS"/>
              </w:rPr>
            </w:pPr>
          </w:p>
          <w:p w14:paraId="421AE488" w14:textId="77777777" w:rsidR="0059508A" w:rsidRPr="001C1CCE" w:rsidRDefault="0059508A" w:rsidP="00DF6AEA">
            <w:pPr>
              <w:tabs>
                <w:tab w:val="left" w:pos="540"/>
              </w:tabs>
              <w:jc w:val="center"/>
              <w:rPr>
                <w:rFonts w:ascii="Arial" w:hAnsi="Arial" w:cs="Arial"/>
                <w:b/>
                <w:noProof/>
                <w:sz w:val="24"/>
                <w:szCs w:val="24"/>
                <w:lang w:val="sr-Cyrl-RS"/>
              </w:rPr>
            </w:pPr>
            <w:r w:rsidRPr="001C1CCE">
              <w:rPr>
                <w:rFonts w:ascii="Arial" w:hAnsi="Arial" w:cs="Arial"/>
                <w:b/>
                <w:noProof/>
                <w:sz w:val="24"/>
                <w:szCs w:val="24"/>
                <w:lang w:val="sr-Cyrl-RS"/>
              </w:rPr>
              <w:t>Таласи у уопштеном Zener-овом фракционом моделу</w:t>
            </w:r>
          </w:p>
          <w:p w14:paraId="42E2CF7B" w14:textId="77777777" w:rsidR="0059508A" w:rsidRPr="001C1CCE" w:rsidRDefault="0059508A" w:rsidP="00DF6AEA">
            <w:pPr>
              <w:tabs>
                <w:tab w:val="left" w:pos="540"/>
              </w:tabs>
              <w:jc w:val="center"/>
              <w:rPr>
                <w:rFonts w:ascii="Arial" w:hAnsi="Arial" w:cs="Arial"/>
                <w:b/>
                <w:noProof/>
                <w:sz w:val="24"/>
                <w:szCs w:val="24"/>
                <w:lang w:val="sr-Latn-RS"/>
              </w:rPr>
            </w:pPr>
          </w:p>
          <w:p w14:paraId="70DAC44E" w14:textId="72A3FF26" w:rsidR="0059508A" w:rsidRPr="001C1CCE" w:rsidRDefault="0059508A" w:rsidP="00421DC8">
            <w:pPr>
              <w:tabs>
                <w:tab w:val="left" w:pos="540"/>
              </w:tabs>
              <w:jc w:val="both"/>
              <w:rPr>
                <w:rFonts w:ascii="Arial" w:hAnsi="Arial" w:cs="Arial"/>
                <w:sz w:val="24"/>
                <w:szCs w:val="24"/>
              </w:rPr>
            </w:pPr>
            <w:r w:rsidRPr="001C1CCE">
              <w:rPr>
                <w:rFonts w:ascii="Arial" w:hAnsi="Arial" w:cs="Arial"/>
                <w:noProof/>
                <w:sz w:val="24"/>
                <w:szCs w:val="24"/>
                <w:lang w:val="sr-Latn-RS"/>
              </w:rPr>
              <w:t>У раду се разматра простирање таласа у  једно-димензионалном моделу вискоеластичног тела описаног фракционим Zener-овим моделом. Испитују се ограничења на коефицијенте модела која следе из услова дисипативности. Формулишу се услови за постојање решења.  Приказана су и нумеричка решења проблема за неколико вредности параметара.</w:t>
            </w:r>
          </w:p>
        </w:tc>
      </w:tr>
      <w:tr w:rsidR="001A1F4F" w:rsidRPr="001C1CCE" w14:paraId="3D8BFA18" w14:textId="77777777" w:rsidTr="005E6704">
        <w:trPr>
          <w:cantSplit/>
          <w:trHeight w:val="284"/>
        </w:trPr>
        <w:tc>
          <w:tcPr>
            <w:tcW w:w="740" w:type="pct"/>
            <w:tcMar>
              <w:top w:w="227" w:type="dxa"/>
              <w:left w:w="227" w:type="dxa"/>
              <w:bottom w:w="227" w:type="dxa"/>
              <w:right w:w="227" w:type="dxa"/>
            </w:tcMar>
            <w:vAlign w:val="center"/>
          </w:tcPr>
          <w:p w14:paraId="17114F10" w14:textId="778B7345" w:rsidR="0059508A" w:rsidRPr="001C1CCE" w:rsidRDefault="0059508A" w:rsidP="007B32C4">
            <w:pPr>
              <w:jc w:val="center"/>
              <w:rPr>
                <w:rFonts w:ascii="Arial" w:hAnsi="Arial" w:cs="Arial"/>
                <w:b/>
                <w:noProof/>
                <w:sz w:val="24"/>
                <w:szCs w:val="24"/>
                <w:lang w:val="sr-Cyrl-RS"/>
              </w:rPr>
            </w:pPr>
            <w:r w:rsidRPr="001C1CCE">
              <w:rPr>
                <w:rFonts w:ascii="Arial" w:hAnsi="Arial" w:cs="Arial"/>
                <w:noProof/>
                <w:sz w:val="24"/>
                <w:szCs w:val="24"/>
                <w:lang w:val="sr-Cyrl-RS"/>
              </w:rPr>
              <w:t>11:00-12:00</w:t>
            </w:r>
          </w:p>
        </w:tc>
        <w:tc>
          <w:tcPr>
            <w:tcW w:w="4260" w:type="pct"/>
            <w:tcMar>
              <w:top w:w="227" w:type="dxa"/>
              <w:left w:w="227" w:type="dxa"/>
              <w:bottom w:w="227" w:type="dxa"/>
              <w:right w:w="227" w:type="dxa"/>
            </w:tcMar>
            <w:vAlign w:val="center"/>
          </w:tcPr>
          <w:p w14:paraId="1EB6314B" w14:textId="3646EDFA" w:rsidR="0059508A" w:rsidRPr="001C1CCE" w:rsidRDefault="0059508A" w:rsidP="007B32C4">
            <w:pPr>
              <w:jc w:val="center"/>
              <w:rPr>
                <w:rFonts w:ascii="Arial" w:hAnsi="Arial" w:cs="Arial"/>
                <w:bCs/>
                <w:noProof/>
                <w:sz w:val="24"/>
                <w:szCs w:val="24"/>
                <w:lang w:val="sr-Cyrl-RS"/>
              </w:rPr>
            </w:pPr>
            <w:r w:rsidRPr="001C1CCE">
              <w:rPr>
                <w:rFonts w:ascii="Arial" w:hAnsi="Arial" w:cs="Arial"/>
                <w:b/>
                <w:noProof/>
                <w:sz w:val="24"/>
                <w:szCs w:val="24"/>
                <w:lang w:val="sr-Cyrl-RS"/>
              </w:rPr>
              <w:t>Милена Радновић</w:t>
            </w:r>
            <w:r w:rsidRPr="001C1CCE">
              <w:rPr>
                <w:rFonts w:ascii="Arial" w:hAnsi="Arial" w:cs="Arial"/>
                <w:bCs/>
                <w:noProof/>
                <w:sz w:val="24"/>
                <w:szCs w:val="24"/>
                <w:lang w:val="sr-Cyrl-RS"/>
              </w:rPr>
              <w:t>,</w:t>
            </w:r>
          </w:p>
          <w:p w14:paraId="2E6C571D" w14:textId="421308C6" w:rsidR="0059508A" w:rsidRPr="001C1CCE" w:rsidRDefault="0059508A" w:rsidP="0059508A">
            <w:pPr>
              <w:jc w:val="center"/>
              <w:rPr>
                <w:rFonts w:ascii="Arial" w:hAnsi="Arial" w:cs="Arial"/>
                <w:bCs/>
                <w:noProof/>
                <w:sz w:val="24"/>
                <w:szCs w:val="24"/>
                <w:lang w:val="sr-Cyrl-RS"/>
              </w:rPr>
            </w:pPr>
            <w:r w:rsidRPr="001C1CCE">
              <w:rPr>
                <w:rFonts w:ascii="Arial" w:hAnsi="Arial" w:cs="Arial"/>
                <w:noProof/>
                <w:sz w:val="24"/>
                <w:szCs w:val="24"/>
                <w:shd w:val="clear" w:color="auto" w:fill="FFFFFF"/>
                <w:lang w:val="sr-Cyrl-RS"/>
              </w:rPr>
              <w:t>Математички инстититут САНУ</w:t>
            </w:r>
            <w:r w:rsidRPr="001C1CCE">
              <w:rPr>
                <w:rFonts w:ascii="Arial" w:hAnsi="Arial" w:cs="Arial"/>
                <w:noProof/>
                <w:sz w:val="24"/>
                <w:szCs w:val="24"/>
                <w:shd w:val="clear" w:color="auto" w:fill="FFFFFF"/>
              </w:rPr>
              <w:t xml:space="preserve"> </w:t>
            </w:r>
            <w:r w:rsidRPr="001C1CCE">
              <w:rPr>
                <w:rFonts w:ascii="Arial" w:hAnsi="Arial" w:cs="Arial"/>
                <w:bCs/>
                <w:noProof/>
                <w:sz w:val="24"/>
                <w:szCs w:val="24"/>
                <w:lang w:val="sr-Cyrl-RS"/>
              </w:rPr>
              <w:t>&amp; University of Sidney</w:t>
            </w:r>
          </w:p>
          <w:p w14:paraId="6F446A78" w14:textId="77777777" w:rsidR="001A1F4F" w:rsidRPr="001C1CCE" w:rsidRDefault="001A1F4F" w:rsidP="0059508A">
            <w:pPr>
              <w:jc w:val="center"/>
              <w:rPr>
                <w:rFonts w:ascii="Arial" w:hAnsi="Arial" w:cs="Arial"/>
                <w:noProof/>
                <w:sz w:val="24"/>
                <w:szCs w:val="24"/>
                <w:shd w:val="clear" w:color="auto" w:fill="FFFFFF"/>
                <w:lang w:val="sr-Cyrl-RS"/>
              </w:rPr>
            </w:pPr>
          </w:p>
          <w:p w14:paraId="0279FA84" w14:textId="77777777" w:rsidR="0059508A" w:rsidRPr="001C1CCE" w:rsidRDefault="0059508A" w:rsidP="00DF6AEA">
            <w:pPr>
              <w:jc w:val="center"/>
              <w:rPr>
                <w:rFonts w:ascii="Arial" w:hAnsi="Arial" w:cs="Arial"/>
                <w:b/>
                <w:noProof/>
                <w:sz w:val="24"/>
                <w:szCs w:val="24"/>
                <w:shd w:val="clear" w:color="auto" w:fill="FFFFFF"/>
                <w:lang w:val="sr-Cyrl-RS"/>
              </w:rPr>
            </w:pPr>
            <w:r w:rsidRPr="001C1CCE">
              <w:rPr>
                <w:rFonts w:ascii="Arial" w:hAnsi="Arial" w:cs="Arial"/>
                <w:b/>
                <w:noProof/>
                <w:sz w:val="24"/>
                <w:szCs w:val="24"/>
                <w:shd w:val="clear" w:color="auto" w:fill="FFFFFF"/>
                <w:lang w:val="sr-Cyrl-RS"/>
              </w:rPr>
              <w:t>О асимптотици Пенелевеових трансцендентних функција</w:t>
            </w:r>
          </w:p>
          <w:p w14:paraId="4B63FF14" w14:textId="77777777" w:rsidR="001A1F4F" w:rsidRPr="001C1CCE" w:rsidRDefault="001A1F4F" w:rsidP="001A1F4F">
            <w:pPr>
              <w:jc w:val="both"/>
              <w:rPr>
                <w:rFonts w:ascii="Arial" w:hAnsi="Arial" w:cs="Arial"/>
                <w:b/>
                <w:noProof/>
                <w:sz w:val="24"/>
                <w:szCs w:val="24"/>
                <w:shd w:val="clear" w:color="auto" w:fill="FFFFFF"/>
                <w:lang w:val="sr-Cyrl-RS"/>
              </w:rPr>
            </w:pPr>
          </w:p>
          <w:p w14:paraId="6837BE4A" w14:textId="6E0FE3D3" w:rsidR="001A1F4F" w:rsidRPr="001C1CCE" w:rsidRDefault="001A1F4F" w:rsidP="00421DC8">
            <w:pPr>
              <w:jc w:val="both"/>
              <w:rPr>
                <w:rFonts w:ascii="Arial" w:hAnsi="Arial" w:cs="Arial"/>
                <w:noProof/>
                <w:sz w:val="24"/>
                <w:szCs w:val="24"/>
                <w:shd w:val="clear" w:color="auto" w:fill="FFFFFF"/>
                <w:lang w:val="sr-Latn-RS"/>
              </w:rPr>
            </w:pPr>
            <w:r w:rsidRPr="001C1CCE">
              <w:rPr>
                <w:rFonts w:ascii="Arial" w:hAnsi="Arial" w:cs="Arial"/>
                <w:noProof/>
                <w:sz w:val="24"/>
                <w:szCs w:val="24"/>
                <w:shd w:val="clear" w:color="auto" w:fill="FFFFFF"/>
                <w:lang w:val="sr-Latn-RS"/>
              </w:rPr>
              <w:t>Користећи конструкцију простора почетних вредности за Пенлевеове диференцијалне једначине, показаћемо како се може анализирати асимптотско понашање решења тих једначина у околини сингуларних тачака. Ово је заједнички рад с Налини Јоши.</w:t>
            </w:r>
          </w:p>
        </w:tc>
      </w:tr>
      <w:tr w:rsidR="001A1F4F" w:rsidRPr="001C1CCE" w14:paraId="46CFE71F" w14:textId="77777777" w:rsidTr="00CD0D21">
        <w:trPr>
          <w:trHeight w:val="284"/>
        </w:trPr>
        <w:tc>
          <w:tcPr>
            <w:tcW w:w="740" w:type="pct"/>
            <w:tcMar>
              <w:top w:w="227" w:type="dxa"/>
              <w:left w:w="227" w:type="dxa"/>
              <w:bottom w:w="227" w:type="dxa"/>
              <w:right w:w="227" w:type="dxa"/>
            </w:tcMar>
            <w:vAlign w:val="center"/>
          </w:tcPr>
          <w:p w14:paraId="059AFD5F" w14:textId="3BD2271C" w:rsidR="0059508A" w:rsidRPr="001C1CCE" w:rsidRDefault="0059508A" w:rsidP="007B32C4">
            <w:pPr>
              <w:jc w:val="center"/>
              <w:rPr>
                <w:rFonts w:ascii="Arial" w:hAnsi="Arial" w:cs="Arial"/>
                <w:b/>
                <w:noProof/>
                <w:sz w:val="24"/>
                <w:szCs w:val="24"/>
                <w:lang w:val="sr-Cyrl-RS"/>
              </w:rPr>
            </w:pPr>
            <w:r w:rsidRPr="001C1CCE">
              <w:rPr>
                <w:rFonts w:ascii="Arial" w:hAnsi="Arial" w:cs="Arial"/>
                <w:noProof/>
                <w:sz w:val="24"/>
                <w:szCs w:val="24"/>
                <w:lang w:val="sr-Cyrl-RS"/>
              </w:rPr>
              <w:t>15:00-16:00</w:t>
            </w:r>
          </w:p>
        </w:tc>
        <w:tc>
          <w:tcPr>
            <w:tcW w:w="4260" w:type="pct"/>
            <w:tcMar>
              <w:top w:w="227" w:type="dxa"/>
              <w:left w:w="227" w:type="dxa"/>
              <w:bottom w:w="227" w:type="dxa"/>
              <w:right w:w="227" w:type="dxa"/>
            </w:tcMar>
            <w:vAlign w:val="center"/>
          </w:tcPr>
          <w:p w14:paraId="711AB3C3" w14:textId="63E534C5" w:rsidR="0059508A" w:rsidRPr="001C1CCE" w:rsidRDefault="0059508A" w:rsidP="007B32C4">
            <w:pPr>
              <w:jc w:val="center"/>
              <w:rPr>
                <w:rFonts w:ascii="Arial" w:hAnsi="Arial" w:cs="Arial"/>
                <w:bCs/>
                <w:noProof/>
                <w:sz w:val="24"/>
                <w:szCs w:val="24"/>
                <w:lang w:val="sr-Cyrl-RS"/>
              </w:rPr>
            </w:pPr>
            <w:r w:rsidRPr="001C1CCE">
              <w:rPr>
                <w:rFonts w:ascii="Arial" w:hAnsi="Arial" w:cs="Arial"/>
                <w:b/>
                <w:noProof/>
                <w:sz w:val="24"/>
                <w:szCs w:val="24"/>
                <w:lang w:val="sr-Cyrl-RS"/>
              </w:rPr>
              <w:t>Србољуб Симић</w:t>
            </w:r>
            <w:r w:rsidRPr="001C1CCE">
              <w:rPr>
                <w:rFonts w:ascii="Arial" w:hAnsi="Arial" w:cs="Arial"/>
                <w:bCs/>
                <w:noProof/>
                <w:sz w:val="24"/>
                <w:szCs w:val="24"/>
                <w:lang w:val="sr-Cyrl-RS"/>
              </w:rPr>
              <w:t>,</w:t>
            </w:r>
          </w:p>
          <w:p w14:paraId="286F2572" w14:textId="3A670B3E" w:rsidR="0059508A" w:rsidRPr="001C1CCE" w:rsidRDefault="0059508A" w:rsidP="007B32C4">
            <w:pPr>
              <w:jc w:val="center"/>
              <w:rPr>
                <w:rFonts w:ascii="Arial" w:hAnsi="Arial" w:cs="Arial"/>
                <w:noProof/>
                <w:sz w:val="24"/>
                <w:szCs w:val="24"/>
                <w:shd w:val="clear" w:color="auto" w:fill="FFFFFF"/>
                <w:lang w:val="sr-Cyrl-RS"/>
              </w:rPr>
            </w:pPr>
            <w:r w:rsidRPr="001C1CCE">
              <w:rPr>
                <w:rFonts w:ascii="Arial" w:hAnsi="Arial" w:cs="Arial"/>
                <w:noProof/>
                <w:sz w:val="24"/>
                <w:szCs w:val="24"/>
                <w:shd w:val="clear" w:color="auto" w:fill="FFFFFF"/>
                <w:lang w:val="sr-Cyrl-RS"/>
              </w:rPr>
              <w:t>Универзитет у Новом Саду</w:t>
            </w:r>
          </w:p>
          <w:p w14:paraId="1E270E63" w14:textId="77777777" w:rsidR="001A1F4F" w:rsidRPr="001C1CCE" w:rsidRDefault="001A1F4F" w:rsidP="007B32C4">
            <w:pPr>
              <w:jc w:val="center"/>
              <w:rPr>
                <w:rFonts w:ascii="Arial" w:hAnsi="Arial" w:cs="Arial"/>
                <w:noProof/>
                <w:sz w:val="24"/>
                <w:szCs w:val="24"/>
                <w:shd w:val="clear" w:color="auto" w:fill="FFFFFF"/>
                <w:lang w:val="sr-Cyrl-RS"/>
              </w:rPr>
            </w:pPr>
          </w:p>
          <w:p w14:paraId="1D79D568" w14:textId="77777777" w:rsidR="0001452B" w:rsidRPr="0001452B" w:rsidRDefault="0001452B" w:rsidP="0001452B">
            <w:pPr>
              <w:jc w:val="center"/>
              <w:rPr>
                <w:rFonts w:ascii="Arial" w:hAnsi="Arial" w:cs="Arial"/>
                <w:b/>
                <w:sz w:val="24"/>
                <w:szCs w:val="24"/>
              </w:rPr>
            </w:pPr>
            <w:r w:rsidRPr="0001452B">
              <w:rPr>
                <w:rFonts w:ascii="Arial" w:hAnsi="Arial" w:cs="Arial"/>
                <w:b/>
                <w:sz w:val="24"/>
                <w:szCs w:val="24"/>
              </w:rPr>
              <w:t>Variational Approach to Maxwell-Stefan Model of Diffusion</w:t>
            </w:r>
          </w:p>
          <w:p w14:paraId="46FFE114" w14:textId="77777777" w:rsidR="001A1F4F" w:rsidRPr="001C1CCE" w:rsidRDefault="001A1F4F" w:rsidP="0059508A">
            <w:pPr>
              <w:jc w:val="center"/>
              <w:rPr>
                <w:rFonts w:ascii="Arial" w:hAnsi="Arial" w:cs="Arial"/>
                <w:b/>
                <w:noProof/>
                <w:sz w:val="24"/>
                <w:szCs w:val="24"/>
                <w:lang w:val="sr-Cyrl-RS"/>
              </w:rPr>
            </w:pPr>
          </w:p>
          <w:p w14:paraId="23B73744" w14:textId="3A1C6307" w:rsidR="001A1F4F" w:rsidRPr="001C1CCE" w:rsidRDefault="001A1F4F" w:rsidP="00421DC8">
            <w:pPr>
              <w:jc w:val="both"/>
              <w:rPr>
                <w:rFonts w:ascii="Arial" w:hAnsi="Arial" w:cs="Arial"/>
                <w:sz w:val="24"/>
                <w:szCs w:val="24"/>
              </w:rPr>
            </w:pPr>
            <w:r w:rsidRPr="001C1CCE">
              <w:rPr>
                <w:rFonts w:ascii="Arial" w:hAnsi="Arial" w:cs="Arial"/>
                <w:sz w:val="24"/>
                <w:szCs w:val="24"/>
              </w:rPr>
              <w:t xml:space="preserve">Diffusion is the process motion of one specie relative to another. If the motion occurs relative to a background medium, the process is usually described by the Fick’s law or some of its generalizations. When the cross-diffusion is more prominent, like in gaseous mixtures the Maxwell-Stefan model is more appropriate. First aim of this lecture is to give an overview of different approaches to Maxwell-Stefan model of diffusion and recent mathematical results in this field. This will span phenomenological derivation of the model, kinetic theory approach to cross-diffusion models, and qualitative analysis of solutions of Maxwell-Stefan equations.  Second aim is concerned with derivation of the Maxwell-Stefan model from the kinetic theory of mixtures. Crucial steps in this approach are scaling of the Boltzmann equations and assumption about the structure of velocity distribution functions. It will be shown that variational approach, based upon maximum entropy principle, in conjunction with proper scaling yields </w:t>
            </w:r>
            <w:r w:rsidRPr="001C1CCE">
              <w:rPr>
                <w:rFonts w:ascii="Arial" w:hAnsi="Arial" w:cs="Arial"/>
                <w:sz w:val="24"/>
                <w:szCs w:val="24"/>
              </w:rPr>
              <w:lastRenderedPageBreak/>
              <w:t xml:space="preserve">the velocity distribution functions in appropriate form and recovers Maxwell-Stefan equations. Moreover, entropy balance law will be derived with explicit form of entropy production rate. </w:t>
            </w:r>
          </w:p>
        </w:tc>
      </w:tr>
      <w:tr w:rsidR="001A1F4F" w:rsidRPr="001C1CCE" w14:paraId="5EF2E882" w14:textId="77777777" w:rsidTr="005E6704">
        <w:trPr>
          <w:cantSplit/>
          <w:trHeight w:val="284"/>
        </w:trPr>
        <w:tc>
          <w:tcPr>
            <w:tcW w:w="740" w:type="pct"/>
            <w:tcMar>
              <w:top w:w="227" w:type="dxa"/>
              <w:left w:w="227" w:type="dxa"/>
              <w:bottom w:w="227" w:type="dxa"/>
              <w:right w:w="227" w:type="dxa"/>
            </w:tcMar>
            <w:vAlign w:val="center"/>
          </w:tcPr>
          <w:p w14:paraId="0C75F67D" w14:textId="08333F8E" w:rsidR="0059508A" w:rsidRPr="001C1CCE" w:rsidRDefault="0059508A" w:rsidP="007B32C4">
            <w:pPr>
              <w:jc w:val="center"/>
              <w:rPr>
                <w:rFonts w:ascii="Arial" w:hAnsi="Arial" w:cs="Arial"/>
                <w:b/>
                <w:noProof/>
                <w:sz w:val="24"/>
                <w:szCs w:val="24"/>
                <w:lang w:val="sr-Cyrl-RS"/>
              </w:rPr>
            </w:pPr>
            <w:r w:rsidRPr="001C1CCE">
              <w:rPr>
                <w:rFonts w:ascii="Arial" w:hAnsi="Arial" w:cs="Arial"/>
                <w:noProof/>
                <w:sz w:val="24"/>
                <w:szCs w:val="24"/>
                <w:lang w:val="sr-Cyrl-RS"/>
              </w:rPr>
              <w:lastRenderedPageBreak/>
              <w:t>16:00-17:00</w:t>
            </w:r>
          </w:p>
        </w:tc>
        <w:tc>
          <w:tcPr>
            <w:tcW w:w="4260" w:type="pct"/>
            <w:tcMar>
              <w:top w:w="227" w:type="dxa"/>
              <w:left w:w="227" w:type="dxa"/>
              <w:bottom w:w="227" w:type="dxa"/>
              <w:right w:w="227" w:type="dxa"/>
            </w:tcMar>
            <w:vAlign w:val="center"/>
          </w:tcPr>
          <w:p w14:paraId="319707C2" w14:textId="0C9BACB7" w:rsidR="0059508A" w:rsidRPr="0001452B" w:rsidRDefault="0001452B" w:rsidP="007B32C4">
            <w:pPr>
              <w:jc w:val="center"/>
              <w:rPr>
                <w:rFonts w:ascii="Arial" w:hAnsi="Arial" w:cs="Arial"/>
                <w:bCs/>
                <w:noProof/>
                <w:sz w:val="24"/>
                <w:szCs w:val="24"/>
                <w:lang w:val="sr-Cyrl-RS"/>
              </w:rPr>
            </w:pPr>
            <w:r w:rsidRPr="0001452B">
              <w:rPr>
                <w:rFonts w:ascii="Arial" w:hAnsi="Arial" w:cs="Arial"/>
                <w:b/>
                <w:sz w:val="24"/>
                <w:szCs w:val="24"/>
                <w:lang w:val="en-GB"/>
              </w:rPr>
              <w:t xml:space="preserve">Alexey </w:t>
            </w:r>
            <w:r w:rsidRPr="0003422A">
              <w:rPr>
                <w:rFonts w:ascii="Arial" w:hAnsi="Arial" w:cs="Arial"/>
                <w:b/>
                <w:noProof/>
                <w:sz w:val="24"/>
                <w:szCs w:val="24"/>
                <w:lang w:val="sr-Latn-RS"/>
              </w:rPr>
              <w:t>Bolsinov</w:t>
            </w:r>
            <w:r w:rsidR="0059508A" w:rsidRPr="0001452B">
              <w:rPr>
                <w:rFonts w:ascii="Arial" w:hAnsi="Arial" w:cs="Arial"/>
                <w:bCs/>
                <w:noProof/>
                <w:sz w:val="24"/>
                <w:szCs w:val="24"/>
                <w:lang w:val="sr-Cyrl-RS"/>
              </w:rPr>
              <w:t>,</w:t>
            </w:r>
          </w:p>
          <w:p w14:paraId="0A1168DC" w14:textId="1D65BFDB" w:rsidR="0059508A" w:rsidRPr="0001452B" w:rsidRDefault="0059508A" w:rsidP="007B32C4">
            <w:pPr>
              <w:jc w:val="center"/>
              <w:rPr>
                <w:rFonts w:ascii="Arial" w:hAnsi="Arial" w:cs="Arial"/>
                <w:bCs/>
                <w:noProof/>
                <w:sz w:val="24"/>
                <w:szCs w:val="24"/>
                <w:lang w:val="sr-Cyrl-RS"/>
              </w:rPr>
            </w:pPr>
            <w:r w:rsidRPr="0001452B">
              <w:rPr>
                <w:rFonts w:ascii="Arial" w:hAnsi="Arial" w:cs="Arial"/>
                <w:bCs/>
                <w:noProof/>
                <w:sz w:val="24"/>
                <w:szCs w:val="24"/>
                <w:lang w:val="sr-Cyrl-RS"/>
              </w:rPr>
              <w:t>Loughborough University</w:t>
            </w:r>
          </w:p>
          <w:p w14:paraId="637DE45C" w14:textId="77777777" w:rsidR="005E6704" w:rsidRPr="0001452B" w:rsidRDefault="005E6704" w:rsidP="007B32C4">
            <w:pPr>
              <w:jc w:val="center"/>
              <w:rPr>
                <w:rFonts w:ascii="Arial" w:hAnsi="Arial" w:cs="Arial"/>
                <w:bCs/>
                <w:noProof/>
                <w:sz w:val="24"/>
                <w:szCs w:val="24"/>
                <w:lang w:val="sr-Cyrl-RS"/>
              </w:rPr>
            </w:pPr>
          </w:p>
          <w:p w14:paraId="1637A13B" w14:textId="77777777" w:rsidR="0001452B" w:rsidRPr="0001452B" w:rsidRDefault="0001452B" w:rsidP="0001452B">
            <w:pPr>
              <w:pStyle w:val="HTMLPreformatted"/>
              <w:jc w:val="center"/>
              <w:rPr>
                <w:rFonts w:ascii="Arial" w:hAnsi="Arial" w:cs="Arial"/>
                <w:b/>
                <w:sz w:val="24"/>
                <w:szCs w:val="24"/>
              </w:rPr>
            </w:pPr>
            <w:r w:rsidRPr="0001452B">
              <w:rPr>
                <w:rFonts w:ascii="Arial" w:hAnsi="Arial" w:cs="Arial"/>
                <w:b/>
                <w:sz w:val="24"/>
                <w:szCs w:val="24"/>
              </w:rPr>
              <w:t>Nijenhuis Geometry</w:t>
            </w:r>
          </w:p>
          <w:p w14:paraId="36258023" w14:textId="77777777" w:rsidR="001A1F4F" w:rsidRPr="001C1CCE" w:rsidRDefault="001A1F4F" w:rsidP="0059508A">
            <w:pPr>
              <w:jc w:val="center"/>
              <w:rPr>
                <w:rFonts w:ascii="Arial" w:hAnsi="Arial" w:cs="Arial"/>
                <w:b/>
                <w:bCs/>
                <w:noProof/>
                <w:sz w:val="24"/>
                <w:szCs w:val="24"/>
                <w:lang w:val="sr-Cyrl-RS"/>
              </w:rPr>
            </w:pPr>
          </w:p>
          <w:p w14:paraId="697F97E4" w14:textId="6C455009" w:rsidR="001A1F4F" w:rsidRPr="001C1CCE" w:rsidRDefault="001A1F4F" w:rsidP="00421DC8">
            <w:pPr>
              <w:pStyle w:val="HTMLPreformatted"/>
              <w:jc w:val="both"/>
              <w:rPr>
                <w:rFonts w:ascii="Arial" w:hAnsi="Arial" w:cs="Arial"/>
                <w:sz w:val="24"/>
                <w:szCs w:val="24"/>
              </w:rPr>
            </w:pPr>
            <w:r w:rsidRPr="001C1CCE">
              <w:rPr>
                <w:rFonts w:ascii="Arial" w:hAnsi="Arial" w:cs="Arial"/>
                <w:sz w:val="24"/>
                <w:szCs w:val="24"/>
              </w:rPr>
              <w:t>The purpose of the talk is to discuss new developments in Nijenhuis Geometry. Similar to</w:t>
            </w:r>
            <w:r w:rsidRPr="001C1CCE">
              <w:rPr>
                <w:rFonts w:ascii="Arial" w:hAnsi="Arial" w:cs="Arial"/>
                <w:sz w:val="24"/>
                <w:szCs w:val="24"/>
                <w:lang w:val="sr-Cyrl-RS"/>
              </w:rPr>
              <w:t xml:space="preserve"> </w:t>
            </w:r>
            <w:r w:rsidRPr="001C1CCE">
              <w:rPr>
                <w:rFonts w:ascii="Arial" w:hAnsi="Arial" w:cs="Arial"/>
                <w:sz w:val="24"/>
                <w:szCs w:val="24"/>
              </w:rPr>
              <w:t>Riemannian, Poisson or symplectic geometry, the Nijenhuis geometric structure is defined by</w:t>
            </w:r>
            <w:r w:rsidRPr="001C1CCE">
              <w:rPr>
                <w:rFonts w:ascii="Arial" w:hAnsi="Arial" w:cs="Arial"/>
                <w:sz w:val="24"/>
                <w:szCs w:val="24"/>
                <w:lang w:val="sr-Cyrl-RS"/>
              </w:rPr>
              <w:t xml:space="preserve"> </w:t>
            </w:r>
            <w:r w:rsidRPr="001C1CCE">
              <w:rPr>
                <w:rFonts w:ascii="Arial" w:hAnsi="Arial" w:cs="Arial"/>
                <w:sz w:val="24"/>
                <w:szCs w:val="24"/>
              </w:rPr>
              <w:t>means of a tensor of order 2 (i.e., by a matrix) but, in contrast to the above examples, this tensor is not a bilinear form but linear operator. The additional geometric condition imposed on this operator is that its Nijenhuis torsion identically vanishes. Open problems in this area include studying singular points of Nijenhuis operators, local normal forms, global properties and topological obstructions to the existence of such operators on closed manifolds.</w:t>
            </w:r>
          </w:p>
        </w:tc>
      </w:tr>
    </w:tbl>
    <w:p w14:paraId="18652A43" w14:textId="77777777" w:rsidR="00153DA5" w:rsidRPr="001C1CCE" w:rsidRDefault="00153DA5" w:rsidP="00996723">
      <w:pPr>
        <w:pStyle w:val="HTMLPreformatted"/>
        <w:rPr>
          <w:rFonts w:ascii="Arial" w:hAnsi="Arial" w:cs="Arial"/>
          <w:b/>
          <w:noProof/>
          <w:sz w:val="24"/>
          <w:szCs w:val="24"/>
          <w:lang w:val="sr-Cyrl-RS"/>
        </w:rPr>
      </w:pPr>
    </w:p>
    <w:sectPr w:rsidR="00153DA5" w:rsidRPr="001C1CCE" w:rsidSect="0001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A01DC"/>
    <w:multiLevelType w:val="hybridMultilevel"/>
    <w:tmpl w:val="EFF67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82D23"/>
    <w:multiLevelType w:val="hybridMultilevel"/>
    <w:tmpl w:val="95125720"/>
    <w:lvl w:ilvl="0" w:tplc="1F462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0895"/>
    <w:rsid w:val="0001452B"/>
    <w:rsid w:val="0003422A"/>
    <w:rsid w:val="000F66A5"/>
    <w:rsid w:val="00147334"/>
    <w:rsid w:val="00153DA5"/>
    <w:rsid w:val="00187E72"/>
    <w:rsid w:val="001A1F4F"/>
    <w:rsid w:val="001B4B31"/>
    <w:rsid w:val="001C1CCE"/>
    <w:rsid w:val="001F1D1A"/>
    <w:rsid w:val="002170B6"/>
    <w:rsid w:val="00232713"/>
    <w:rsid w:val="00232F2C"/>
    <w:rsid w:val="00291F6A"/>
    <w:rsid w:val="002E2985"/>
    <w:rsid w:val="00310C50"/>
    <w:rsid w:val="00347679"/>
    <w:rsid w:val="003549D6"/>
    <w:rsid w:val="00397424"/>
    <w:rsid w:val="00421DC8"/>
    <w:rsid w:val="00471DE5"/>
    <w:rsid w:val="004A318D"/>
    <w:rsid w:val="00530826"/>
    <w:rsid w:val="0059508A"/>
    <w:rsid w:val="005E6704"/>
    <w:rsid w:val="00630536"/>
    <w:rsid w:val="006D6772"/>
    <w:rsid w:val="007336EB"/>
    <w:rsid w:val="007B32C4"/>
    <w:rsid w:val="008303C9"/>
    <w:rsid w:val="008E176E"/>
    <w:rsid w:val="00996723"/>
    <w:rsid w:val="009A1AB3"/>
    <w:rsid w:val="00A54AB4"/>
    <w:rsid w:val="00BB79DE"/>
    <w:rsid w:val="00C071E0"/>
    <w:rsid w:val="00C7492A"/>
    <w:rsid w:val="00CD0D21"/>
    <w:rsid w:val="00CF0895"/>
    <w:rsid w:val="00CF3234"/>
    <w:rsid w:val="00D14EBC"/>
    <w:rsid w:val="00D37330"/>
    <w:rsid w:val="00D66ECB"/>
    <w:rsid w:val="00D7018D"/>
    <w:rsid w:val="00DF6AEA"/>
    <w:rsid w:val="00E323C3"/>
    <w:rsid w:val="00E85746"/>
    <w:rsid w:val="00EA628D"/>
    <w:rsid w:val="00EC64B3"/>
    <w:rsid w:val="00FB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877A"/>
  <w15:docId w15:val="{E4C62A60-4F36-40DA-9625-89270E80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1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4EBC"/>
    <w:rPr>
      <w:rFonts w:ascii="Courier New" w:eastAsia="Times New Roman" w:hAnsi="Courier New" w:cs="Courier New"/>
      <w:sz w:val="20"/>
      <w:szCs w:val="20"/>
    </w:rPr>
  </w:style>
  <w:style w:type="character" w:styleId="Hyperlink">
    <w:name w:val="Hyperlink"/>
    <w:rsid w:val="00D14EBC"/>
    <w:rPr>
      <w:color w:val="000080"/>
      <w:u w:val="single"/>
    </w:rPr>
  </w:style>
  <w:style w:type="table" w:styleId="TableGrid">
    <w:name w:val="Table Grid"/>
    <w:basedOn w:val="TableNormal"/>
    <w:uiPriority w:val="59"/>
    <w:unhideWhenUsed/>
    <w:rsid w:val="00996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AEA"/>
    <w:pPr>
      <w:ind w:left="720"/>
      <w:contextualSpacing/>
    </w:pPr>
  </w:style>
  <w:style w:type="paragraph" w:styleId="NoSpacing">
    <w:name w:val="No Spacing"/>
    <w:link w:val="NoSpacingChar"/>
    <w:uiPriority w:val="1"/>
    <w:qFormat/>
    <w:rsid w:val="006D6772"/>
    <w:pPr>
      <w:spacing w:after="0" w:line="240" w:lineRule="auto"/>
    </w:pPr>
    <w:rPr>
      <w:rFonts w:eastAsiaTheme="minorEastAsia"/>
    </w:rPr>
  </w:style>
  <w:style w:type="character" w:customStyle="1" w:styleId="NoSpacingChar">
    <w:name w:val="No Spacing Char"/>
    <w:basedOn w:val="DefaultParagraphFont"/>
    <w:link w:val="NoSpacing"/>
    <w:uiPriority w:val="1"/>
    <w:rsid w:val="006D677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26237">
      <w:bodyDiv w:val="1"/>
      <w:marLeft w:val="0"/>
      <w:marRight w:val="0"/>
      <w:marTop w:val="0"/>
      <w:marBottom w:val="0"/>
      <w:divBdr>
        <w:top w:val="none" w:sz="0" w:space="0" w:color="auto"/>
        <w:left w:val="none" w:sz="0" w:space="0" w:color="auto"/>
        <w:bottom w:val="none" w:sz="0" w:space="0" w:color="auto"/>
        <w:right w:val="none" w:sz="0" w:space="0" w:color="auto"/>
      </w:divBdr>
    </w:div>
    <w:div w:id="1628468451">
      <w:bodyDiv w:val="1"/>
      <w:marLeft w:val="0"/>
      <w:marRight w:val="0"/>
      <w:marTop w:val="0"/>
      <w:marBottom w:val="0"/>
      <w:divBdr>
        <w:top w:val="none" w:sz="0" w:space="0" w:color="auto"/>
        <w:left w:val="none" w:sz="0" w:space="0" w:color="auto"/>
        <w:bottom w:val="none" w:sz="0" w:space="0" w:color="auto"/>
        <w:right w:val="none" w:sz="0" w:space="0" w:color="auto"/>
      </w:divBdr>
      <w:divsChild>
        <w:div w:id="275018743">
          <w:marLeft w:val="-225"/>
          <w:marRight w:val="-225"/>
          <w:marTop w:val="0"/>
          <w:marBottom w:val="0"/>
          <w:divBdr>
            <w:top w:val="none" w:sz="0" w:space="0" w:color="auto"/>
            <w:left w:val="none" w:sz="0" w:space="0" w:color="auto"/>
            <w:bottom w:val="none" w:sz="0" w:space="0" w:color="auto"/>
            <w:right w:val="none" w:sz="0" w:space="0" w:color="auto"/>
          </w:divBdr>
        </w:div>
        <w:div w:id="2127692479">
          <w:marLeft w:val="-225"/>
          <w:marRight w:val="-225"/>
          <w:marTop w:val="0"/>
          <w:marBottom w:val="0"/>
          <w:divBdr>
            <w:top w:val="none" w:sz="0" w:space="0" w:color="auto"/>
            <w:left w:val="none" w:sz="0" w:space="0" w:color="auto"/>
            <w:bottom w:val="none" w:sz="0" w:space="0" w:color="auto"/>
            <w:right w:val="none" w:sz="0" w:space="0" w:color="auto"/>
          </w:divBdr>
        </w:div>
      </w:divsChild>
    </w:div>
    <w:div w:id="213255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C1BF7-1D7D-4CA1-B8BB-A994E082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boza</dc:creator>
  <cp:lastModifiedBy>Babic, Aleksandar</cp:lastModifiedBy>
  <cp:revision>10</cp:revision>
  <dcterms:created xsi:type="dcterms:W3CDTF">2021-09-14T16:10:00Z</dcterms:created>
  <dcterms:modified xsi:type="dcterms:W3CDTF">2021-09-15T21:25:00Z</dcterms:modified>
</cp:coreProperties>
</file>